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18E2" w14:textId="4DB898FD" w:rsidR="000F45B3" w:rsidRPr="00B6108B" w:rsidRDefault="000F45B3" w:rsidP="000F45B3">
      <w:pPr>
        <w:pStyle w:val="Heading2"/>
        <w:ind w:left="-426" w:right="-473" w:hanging="141"/>
        <w:jc w:val="center"/>
        <w:rPr>
          <w:rFonts w:ascii="Arial" w:hAnsi="Arial" w:cs="Arial"/>
          <w:szCs w:val="28"/>
        </w:rPr>
      </w:pPr>
      <w:r w:rsidRPr="00B6108B">
        <w:rPr>
          <w:rFonts w:ascii="Arial" w:hAnsi="Arial" w:cs="Arial"/>
          <w:szCs w:val="28"/>
        </w:rPr>
        <w:t>DEVELOPING EXCELLENT PRACTICE AWARD 2019</w:t>
      </w:r>
    </w:p>
    <w:p w14:paraId="64D23DD0" w14:textId="77777777" w:rsidR="000F45B3" w:rsidRPr="00B6108B" w:rsidRDefault="000F45B3" w:rsidP="000F45B3">
      <w:pPr>
        <w:pStyle w:val="Heading2"/>
        <w:ind w:left="-426" w:right="-473" w:hanging="141"/>
        <w:jc w:val="center"/>
        <w:rPr>
          <w:rFonts w:ascii="Arial" w:hAnsi="Arial" w:cs="Arial"/>
          <w:szCs w:val="28"/>
        </w:rPr>
      </w:pPr>
      <w:r w:rsidRPr="00B6108B">
        <w:rPr>
          <w:rFonts w:ascii="Arial" w:hAnsi="Arial" w:cs="Arial"/>
          <w:szCs w:val="28"/>
        </w:rPr>
        <w:t>Sponsored by Cylix Ltd</w:t>
      </w:r>
    </w:p>
    <w:p w14:paraId="709A38BD" w14:textId="521893C8" w:rsidR="000F45B3" w:rsidRPr="00B6108B" w:rsidRDefault="00B6108B" w:rsidP="000F45B3">
      <w:pPr>
        <w:pStyle w:val="Heading2"/>
        <w:ind w:left="-426" w:right="-473" w:hanging="141"/>
        <w:jc w:val="center"/>
        <w:rPr>
          <w:rFonts w:ascii="Arial" w:hAnsi="Arial" w:cs="Arial"/>
          <w:szCs w:val="28"/>
        </w:rPr>
      </w:pPr>
      <w:r>
        <w:rPr>
          <w:rFonts w:ascii="Arial" w:hAnsi="Arial" w:cs="Arial"/>
          <w:szCs w:val="28"/>
        </w:rPr>
        <w:t>GUIDANCE NOTES</w:t>
      </w:r>
    </w:p>
    <w:p w14:paraId="7C93D3AC" w14:textId="77777777" w:rsidR="009C0632" w:rsidRPr="00B6108B" w:rsidRDefault="009C0632" w:rsidP="009C0632">
      <w:pPr>
        <w:rPr>
          <w:rFonts w:ascii="Arial" w:hAnsi="Arial" w:cs="Arial"/>
        </w:rPr>
      </w:pPr>
      <w:r w:rsidRPr="00B6108B">
        <w:rPr>
          <w:rFonts w:ascii="Arial" w:hAnsi="Arial" w:cs="Arial"/>
        </w:rPr>
        <w:t>The award is open to individuals and/or teams who have launched an initiative or project, during 2018/19, that has made a significant and positive impact to the Learning and Development / Academic Development / Organisational Development environment and shows evidence of collaboration both within and external to their own institution.</w:t>
      </w:r>
    </w:p>
    <w:p w14:paraId="4E2C6C90" w14:textId="77777777" w:rsidR="009C0632" w:rsidRPr="00B6108B" w:rsidRDefault="009C0632" w:rsidP="009C0632">
      <w:pPr>
        <w:rPr>
          <w:rFonts w:ascii="Arial" w:hAnsi="Arial" w:cs="Arial"/>
        </w:rPr>
      </w:pPr>
    </w:p>
    <w:p w14:paraId="194DAC8D" w14:textId="77777777" w:rsidR="009C0632" w:rsidRPr="00B6108B" w:rsidRDefault="009C0632" w:rsidP="009C0632">
      <w:pPr>
        <w:rPr>
          <w:rFonts w:ascii="Arial" w:hAnsi="Arial" w:cs="Arial"/>
          <w:b/>
          <w:bCs/>
        </w:rPr>
      </w:pPr>
      <w:r w:rsidRPr="00B6108B">
        <w:rPr>
          <w:rFonts w:ascii="Arial" w:hAnsi="Arial" w:cs="Arial"/>
          <w:b/>
          <w:bCs/>
        </w:rPr>
        <w:t>OVERVIEW</w:t>
      </w:r>
    </w:p>
    <w:p w14:paraId="53E167B3" w14:textId="77777777" w:rsidR="009C0632" w:rsidRPr="00B6108B" w:rsidRDefault="009C0632" w:rsidP="009C0632">
      <w:pPr>
        <w:rPr>
          <w:rFonts w:ascii="Arial" w:hAnsi="Arial" w:cs="Arial"/>
        </w:rPr>
      </w:pPr>
      <w:r w:rsidRPr="00B6108B">
        <w:rPr>
          <w:rFonts w:ascii="Arial" w:hAnsi="Arial" w:cs="Arial"/>
        </w:rPr>
        <w:t>In the current climate in particular, Higher Education is facing considerable challenges and complex change. Those responsible for learning and organisational development in higher education institutions are contributing significantly to meeting those challenges and leading and facilitating change.</w:t>
      </w:r>
    </w:p>
    <w:p w14:paraId="09542D00" w14:textId="77777777" w:rsidR="009C0632" w:rsidRPr="00B6108B" w:rsidRDefault="009C0632" w:rsidP="009C0632">
      <w:pPr>
        <w:rPr>
          <w:rFonts w:ascii="Arial" w:hAnsi="Arial" w:cs="Arial"/>
        </w:rPr>
      </w:pPr>
    </w:p>
    <w:p w14:paraId="7D4F0CD9" w14:textId="77777777" w:rsidR="009C0632" w:rsidRPr="00B6108B" w:rsidRDefault="009C0632" w:rsidP="009C0632">
      <w:pPr>
        <w:rPr>
          <w:rFonts w:ascii="Arial" w:hAnsi="Arial" w:cs="Arial"/>
        </w:rPr>
      </w:pPr>
      <w:r w:rsidRPr="00B6108B">
        <w:rPr>
          <w:rFonts w:ascii="Arial" w:hAnsi="Arial" w:cs="Arial"/>
        </w:rPr>
        <w:t>The SDF Developing Excellent Practice Award reflects the 2019 National Conference’s over-arching theme of Building bridges for emerging futures taking place on 21st – 22nd November 2019, Hilton Newcastle. Shortlisted entries will be featured prior to the conference in Newcastle, with the winner being announced at the conference dinner on 21st November.</w:t>
      </w:r>
    </w:p>
    <w:p w14:paraId="5CACD558" w14:textId="77777777" w:rsidR="009C0632" w:rsidRPr="00B6108B" w:rsidRDefault="009C0632" w:rsidP="009C0632">
      <w:pPr>
        <w:rPr>
          <w:rFonts w:ascii="Arial" w:hAnsi="Arial" w:cs="Arial"/>
        </w:rPr>
      </w:pPr>
    </w:p>
    <w:p w14:paraId="6D817C30" w14:textId="77777777" w:rsidR="009C0632" w:rsidRPr="00B6108B" w:rsidRDefault="009C0632" w:rsidP="009C0632">
      <w:pPr>
        <w:rPr>
          <w:rFonts w:ascii="Arial" w:hAnsi="Arial" w:cs="Arial"/>
          <w:b/>
          <w:bCs/>
        </w:rPr>
      </w:pPr>
      <w:r w:rsidRPr="00B6108B">
        <w:rPr>
          <w:rFonts w:ascii="Arial" w:hAnsi="Arial" w:cs="Arial"/>
          <w:b/>
          <w:bCs/>
        </w:rPr>
        <w:t>HOW TO ENTER</w:t>
      </w:r>
    </w:p>
    <w:p w14:paraId="1B863ADF" w14:textId="222005FE" w:rsidR="009C0632" w:rsidRPr="00B6108B" w:rsidRDefault="009C0632" w:rsidP="009C0632">
      <w:pPr>
        <w:rPr>
          <w:rFonts w:ascii="Arial" w:hAnsi="Arial" w:cs="Arial"/>
        </w:rPr>
      </w:pPr>
      <w:r w:rsidRPr="00B6108B">
        <w:rPr>
          <w:rFonts w:ascii="Arial" w:hAnsi="Arial" w:cs="Arial"/>
        </w:rPr>
        <w:t xml:space="preserve">Complete the application form, which is available at </w:t>
      </w:r>
      <w:hyperlink r:id="rId7" w:history="1">
        <w:r w:rsidRPr="00B6108B">
          <w:rPr>
            <w:rStyle w:val="Hyperlink"/>
            <w:rFonts w:ascii="Arial" w:hAnsi="Arial" w:cs="Arial"/>
          </w:rPr>
          <w:t>http://sdf.ac.uk/6147/2019-developing-excellent-practice-award-sponsored-by-cylix</w:t>
        </w:r>
      </w:hyperlink>
      <w:r w:rsidRPr="00B6108B">
        <w:rPr>
          <w:rFonts w:ascii="Arial" w:hAnsi="Arial" w:cs="Arial"/>
        </w:rPr>
        <w:t>. Submissions must be sent by email to Wendy Mason wendy.mason@sdf.ac.uk by 4pm on 17th October 2019</w:t>
      </w:r>
    </w:p>
    <w:p w14:paraId="078D3330" w14:textId="77777777" w:rsidR="009C0632" w:rsidRPr="00B6108B" w:rsidRDefault="009C0632" w:rsidP="009C0632">
      <w:pPr>
        <w:rPr>
          <w:rFonts w:ascii="Arial" w:hAnsi="Arial" w:cs="Arial"/>
        </w:rPr>
      </w:pPr>
      <w:r w:rsidRPr="00B6108B">
        <w:rPr>
          <w:rFonts w:ascii="Arial" w:hAnsi="Arial" w:cs="Arial"/>
        </w:rPr>
        <w:t xml:space="preserve">Use the relevant sections of the form to describe why the individual or the team should be considered for the award. If appropriate, the submission should address the project or initiative, its context and the development </w:t>
      </w:r>
      <w:proofErr w:type="gramStart"/>
      <w:r w:rsidRPr="00B6108B">
        <w:rPr>
          <w:rFonts w:ascii="Arial" w:hAnsi="Arial" w:cs="Arial"/>
        </w:rPr>
        <w:t>needs</w:t>
      </w:r>
      <w:proofErr w:type="gramEnd"/>
      <w:r w:rsidRPr="00B6108B">
        <w:rPr>
          <w:rFonts w:ascii="Arial" w:hAnsi="Arial" w:cs="Arial"/>
        </w:rPr>
        <w:t xml:space="preserve"> it sought to address. Describe the cross institutional collaboration, evaluation approaches and the impact of the activity. Provide evidence of demonstrable progress or success. Include feedback from those who have benefited and/or who sponsored the project within the institution(s). Identify potential learning points for other institutions. Optional: Indicate whether the submission is to be considered for the Innovative practice award in addition to fulfilling all judging criteria.</w:t>
      </w:r>
    </w:p>
    <w:p w14:paraId="4EF1786D" w14:textId="77777777" w:rsidR="009C0632" w:rsidRPr="00B6108B" w:rsidRDefault="009C0632" w:rsidP="009C0632">
      <w:pPr>
        <w:rPr>
          <w:rFonts w:ascii="Arial" w:hAnsi="Arial" w:cs="Arial"/>
        </w:rPr>
      </w:pPr>
    </w:p>
    <w:p w14:paraId="20A5CC16" w14:textId="77777777" w:rsidR="009C0632" w:rsidRPr="00B6108B" w:rsidRDefault="009C0632" w:rsidP="009C0632">
      <w:pPr>
        <w:rPr>
          <w:rFonts w:ascii="Arial" w:hAnsi="Arial" w:cs="Arial"/>
          <w:b/>
          <w:bCs/>
        </w:rPr>
      </w:pPr>
      <w:r w:rsidRPr="00B6108B">
        <w:rPr>
          <w:rFonts w:ascii="Arial" w:hAnsi="Arial" w:cs="Arial"/>
          <w:b/>
          <w:bCs/>
        </w:rPr>
        <w:lastRenderedPageBreak/>
        <w:t>JUDGING CRITERIA</w:t>
      </w:r>
    </w:p>
    <w:p w14:paraId="0DD97909" w14:textId="57F8B9C4" w:rsidR="009C0632" w:rsidRPr="00B6108B" w:rsidRDefault="009C0632" w:rsidP="009C0632">
      <w:pPr>
        <w:rPr>
          <w:rFonts w:ascii="Arial" w:hAnsi="Arial" w:cs="Arial"/>
        </w:rPr>
      </w:pPr>
      <w:r w:rsidRPr="00B6108B">
        <w:rPr>
          <w:rFonts w:ascii="Arial" w:hAnsi="Arial" w:cs="Arial"/>
        </w:rPr>
        <w:t>The SDF Developing Excellent Practice Award seeks to recognise Learning and Development/ Academic Development / Organisational Development projects or initiatives in the broadest sense that have made a significant and positive difference to individuals, teams, groups or the institution as a whole. The judging panel, which will comprise of representatives from the Advance HE, SDF Executive and SDF Committee, will look for projects that:</w:t>
      </w:r>
    </w:p>
    <w:p w14:paraId="6B050D5B" w14:textId="77777777" w:rsidR="009C0632" w:rsidRPr="00B6108B" w:rsidRDefault="009C0632" w:rsidP="009C0632">
      <w:pPr>
        <w:rPr>
          <w:rFonts w:ascii="Arial" w:hAnsi="Arial" w:cs="Arial"/>
        </w:rPr>
      </w:pPr>
      <w:r w:rsidRPr="00B6108B">
        <w:rPr>
          <w:rFonts w:ascii="Arial" w:hAnsi="Arial" w:cs="Arial"/>
        </w:rPr>
        <w:t>1. Demonstrates a clear relationship with identified staff, academic or organisational development needs.</w:t>
      </w:r>
    </w:p>
    <w:p w14:paraId="3BDE5A03" w14:textId="77777777" w:rsidR="009C0632" w:rsidRPr="00B6108B" w:rsidRDefault="009C0632" w:rsidP="009C0632">
      <w:pPr>
        <w:rPr>
          <w:rFonts w:ascii="Arial" w:hAnsi="Arial" w:cs="Arial"/>
        </w:rPr>
      </w:pPr>
      <w:r w:rsidRPr="00B6108B">
        <w:rPr>
          <w:rFonts w:ascii="Arial" w:hAnsi="Arial" w:cs="Arial"/>
        </w:rPr>
        <w:t>2. Provides a significant contribution to developing excellent practice.</w:t>
      </w:r>
    </w:p>
    <w:p w14:paraId="5C300BF7" w14:textId="77777777" w:rsidR="009C0632" w:rsidRPr="00B6108B" w:rsidRDefault="009C0632" w:rsidP="009C0632">
      <w:pPr>
        <w:rPr>
          <w:rFonts w:ascii="Arial" w:hAnsi="Arial" w:cs="Arial"/>
        </w:rPr>
      </w:pPr>
      <w:r w:rsidRPr="00B6108B">
        <w:rPr>
          <w:rFonts w:ascii="Arial" w:hAnsi="Arial" w:cs="Arial"/>
        </w:rPr>
        <w:t>3. Shows evidence of collaboration either within or external to the institution.</w:t>
      </w:r>
    </w:p>
    <w:p w14:paraId="3A47EBA1" w14:textId="77777777" w:rsidR="009C0632" w:rsidRPr="00B6108B" w:rsidRDefault="009C0632" w:rsidP="009C0632">
      <w:pPr>
        <w:rPr>
          <w:rFonts w:ascii="Arial" w:hAnsi="Arial" w:cs="Arial"/>
        </w:rPr>
      </w:pPr>
      <w:r w:rsidRPr="00B6108B">
        <w:rPr>
          <w:rFonts w:ascii="Arial" w:hAnsi="Arial" w:cs="Arial"/>
        </w:rPr>
        <w:t>4. Shows quantitative and/or qualitative evidence of impact.</w:t>
      </w:r>
    </w:p>
    <w:p w14:paraId="742764B7" w14:textId="77777777" w:rsidR="009C0632" w:rsidRPr="00B6108B" w:rsidRDefault="009C0632" w:rsidP="009C0632">
      <w:pPr>
        <w:rPr>
          <w:rFonts w:ascii="Arial" w:hAnsi="Arial" w:cs="Arial"/>
        </w:rPr>
      </w:pPr>
      <w:r w:rsidRPr="00B6108B">
        <w:rPr>
          <w:rFonts w:ascii="Arial" w:hAnsi="Arial" w:cs="Arial"/>
        </w:rPr>
        <w:t>5. Demonstrates a measurable return on investment/expectation (financial or otherwise).</w:t>
      </w:r>
    </w:p>
    <w:p w14:paraId="264FA988" w14:textId="77777777" w:rsidR="009C0632" w:rsidRPr="00B6108B" w:rsidRDefault="009C0632" w:rsidP="009C0632">
      <w:pPr>
        <w:rPr>
          <w:rFonts w:ascii="Arial" w:hAnsi="Arial" w:cs="Arial"/>
        </w:rPr>
      </w:pPr>
      <w:r w:rsidRPr="00B6108B">
        <w:rPr>
          <w:rFonts w:ascii="Arial" w:hAnsi="Arial" w:cs="Arial"/>
        </w:rPr>
        <w:t>6. Offers transferable learning for other organisations.</w:t>
      </w:r>
    </w:p>
    <w:p w14:paraId="5927935B" w14:textId="77777777" w:rsidR="009C0632" w:rsidRPr="00B6108B" w:rsidRDefault="009C0632" w:rsidP="009C0632">
      <w:pPr>
        <w:rPr>
          <w:rFonts w:ascii="Arial" w:hAnsi="Arial" w:cs="Arial"/>
        </w:rPr>
      </w:pPr>
      <w:r w:rsidRPr="00B6108B">
        <w:rPr>
          <w:rFonts w:ascii="Arial" w:hAnsi="Arial" w:cs="Arial"/>
        </w:rPr>
        <w:t>7. Gives evidence of innovating practice with or without the use of technological developments (additional criteria for Innovative practice award).</w:t>
      </w:r>
    </w:p>
    <w:p w14:paraId="5E4CF8CD" w14:textId="77777777" w:rsidR="009C0632" w:rsidRPr="00B6108B" w:rsidRDefault="009C0632" w:rsidP="009C0632">
      <w:pPr>
        <w:rPr>
          <w:rFonts w:ascii="Arial" w:hAnsi="Arial" w:cs="Arial"/>
        </w:rPr>
      </w:pPr>
    </w:p>
    <w:p w14:paraId="49F1BC25" w14:textId="77777777" w:rsidR="009C0632" w:rsidRPr="00B6108B" w:rsidRDefault="009C0632" w:rsidP="009C0632">
      <w:pPr>
        <w:rPr>
          <w:rFonts w:ascii="Arial" w:hAnsi="Arial" w:cs="Arial"/>
          <w:b/>
          <w:bCs/>
        </w:rPr>
      </w:pPr>
      <w:r w:rsidRPr="00B6108B">
        <w:rPr>
          <w:rFonts w:ascii="Arial" w:hAnsi="Arial" w:cs="Arial"/>
          <w:b/>
          <w:bCs/>
        </w:rPr>
        <w:t>RULES OF ENTRY</w:t>
      </w:r>
    </w:p>
    <w:p w14:paraId="59CBB1F4" w14:textId="77777777" w:rsidR="009C0632" w:rsidRPr="00B6108B" w:rsidRDefault="009C0632" w:rsidP="009C0632">
      <w:pPr>
        <w:rPr>
          <w:rFonts w:ascii="Arial" w:hAnsi="Arial" w:cs="Arial"/>
        </w:rPr>
      </w:pPr>
      <w:r w:rsidRPr="00B6108B">
        <w:rPr>
          <w:rFonts w:ascii="Arial" w:hAnsi="Arial" w:cs="Arial"/>
        </w:rPr>
        <w:t>To enter, the individual or team being nominated must be members of the Staff Development Forum. If you are not member, please read this guidance to become a member.  We expect to draw up a shortlist of entries, based on information provided on the application form by 31 October 2019. No feedback will be provided to entries that are not shortlisted. The judges’ decision is final.</w:t>
      </w:r>
    </w:p>
    <w:p w14:paraId="7676C7A9" w14:textId="415C77D9" w:rsidR="009C0632" w:rsidRPr="00B6108B" w:rsidRDefault="009C0632" w:rsidP="009C0632">
      <w:pPr>
        <w:rPr>
          <w:rFonts w:ascii="Arial" w:hAnsi="Arial" w:cs="Arial"/>
        </w:rPr>
      </w:pPr>
      <w:r w:rsidRPr="00B6108B">
        <w:rPr>
          <w:rFonts w:ascii="Arial" w:hAnsi="Arial" w:cs="Arial"/>
        </w:rPr>
        <w:t xml:space="preserve">At least one representative from each shortlisted entry should be registered to attend the conference. Shortlisted entrants will also be asked to produce information about their entry as a PowerPoint show or video; this will be used by the judges to aid their final decision. The winner of the award will be announced at the conference dinner on 21st November 2019. We aim to display PowerPoint shows or videos for </w:t>
      </w:r>
      <w:r w:rsidR="00DB6754" w:rsidRPr="00B6108B">
        <w:rPr>
          <w:rFonts w:ascii="Arial" w:hAnsi="Arial" w:cs="Arial"/>
        </w:rPr>
        <w:t>shortlisted</w:t>
      </w:r>
      <w:bookmarkStart w:id="0" w:name="_GoBack"/>
      <w:bookmarkEnd w:id="0"/>
      <w:r w:rsidRPr="00B6108B">
        <w:rPr>
          <w:rFonts w:ascii="Arial" w:hAnsi="Arial" w:cs="Arial"/>
        </w:rPr>
        <w:t xml:space="preserve"> entrants prior to the announcement. We aim to promote the winner's press release amongst the SDF membership.</w:t>
      </w:r>
    </w:p>
    <w:p w14:paraId="45D69F6C" w14:textId="77777777" w:rsidR="009C0632" w:rsidRPr="00B6108B" w:rsidRDefault="009C0632" w:rsidP="009C0632">
      <w:pPr>
        <w:rPr>
          <w:rFonts w:ascii="Arial" w:hAnsi="Arial" w:cs="Arial"/>
        </w:rPr>
      </w:pPr>
    </w:p>
    <w:p w14:paraId="677FA53E" w14:textId="0746651C" w:rsidR="000F45B3" w:rsidRDefault="000F45B3" w:rsidP="000F45B3">
      <w:pPr>
        <w:rPr>
          <w:rFonts w:ascii="Arial" w:hAnsi="Arial" w:cs="Arial"/>
        </w:rPr>
      </w:pPr>
    </w:p>
    <w:p w14:paraId="32A19CF1" w14:textId="77777777" w:rsidR="00B6108B" w:rsidRPr="00B6108B" w:rsidRDefault="00B6108B" w:rsidP="000F45B3">
      <w:pPr>
        <w:rPr>
          <w:rFonts w:ascii="Arial" w:hAnsi="Arial" w:cs="Arial"/>
        </w:rPr>
      </w:pPr>
    </w:p>
    <w:sectPr w:rsidR="00B6108B" w:rsidRPr="00B6108B" w:rsidSect="0011023D">
      <w:headerReference w:type="default" r:id="rId8"/>
      <w:footerReference w:type="default" r:id="rId9"/>
      <w:type w:val="continuous"/>
      <w:pgSz w:w="11906" w:h="16838"/>
      <w:pgMar w:top="902" w:right="1106" w:bottom="567" w:left="1349" w:header="0" w:footer="113" w:gutter="0"/>
      <w:cols w:space="720" w:equalWidth="0">
        <w:col w:w="9451" w:space="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894A" w14:textId="77777777" w:rsidR="00F740AE" w:rsidRDefault="00F740AE">
      <w:r>
        <w:separator/>
      </w:r>
    </w:p>
  </w:endnote>
  <w:endnote w:type="continuationSeparator" w:id="0">
    <w:p w14:paraId="34DCFB03" w14:textId="77777777" w:rsidR="00F740AE" w:rsidRDefault="00F7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8B5C" w14:textId="77777777" w:rsidR="00AF35DD" w:rsidRPr="00ED3F5A" w:rsidRDefault="00AF35DD" w:rsidP="00AF35DD">
    <w:pPr>
      <w:pStyle w:val="Footer"/>
      <w:spacing w:after="0"/>
      <w:jc w:val="center"/>
      <w:rPr>
        <w:rFonts w:ascii="Tahoma" w:hAnsi="Tahoma" w:cs="Tahoma"/>
        <w:sz w:val="20"/>
      </w:rPr>
    </w:pPr>
    <w:r w:rsidRPr="00ED3F5A">
      <w:rPr>
        <w:rFonts w:ascii="Tahoma" w:hAnsi="Tahoma" w:cs="Tahoma"/>
        <w:sz w:val="20"/>
      </w:rPr>
      <w:t xml:space="preserve">A company limited by guarantee, registered in England and Wales number </w:t>
    </w:r>
    <w:r w:rsidRPr="00DC624F">
      <w:rPr>
        <w:rFonts w:ascii="Tahoma" w:hAnsi="Tahoma" w:cs="Tahoma"/>
        <w:b/>
        <w:sz w:val="20"/>
      </w:rPr>
      <w:t>6682352</w:t>
    </w:r>
  </w:p>
  <w:p w14:paraId="2D034870" w14:textId="77777777" w:rsidR="00AF35DD" w:rsidRDefault="00AF35DD" w:rsidP="00AF35DD">
    <w:pPr>
      <w:pStyle w:val="Footer"/>
      <w:spacing w:after="0"/>
      <w:jc w:val="center"/>
      <w:rPr>
        <w:rFonts w:ascii="Tahoma" w:hAnsi="Tahoma" w:cs="Tahoma"/>
        <w:sz w:val="20"/>
      </w:rPr>
    </w:pPr>
    <w:r w:rsidRPr="00ED3F5A">
      <w:rPr>
        <w:rFonts w:ascii="Tahoma" w:hAnsi="Tahoma" w:cs="Tahoma"/>
        <w:sz w:val="20"/>
      </w:rPr>
      <w:t>Registered office 90 Rockingham Street Sheffield S1 4EB</w:t>
    </w:r>
  </w:p>
  <w:p w14:paraId="71FEC43B" w14:textId="77777777" w:rsidR="00AF35DD" w:rsidRPr="00ED3F5A" w:rsidRDefault="00AF35DD" w:rsidP="00AF35DD">
    <w:pPr>
      <w:pStyle w:val="Footer"/>
      <w:spacing w:after="0"/>
      <w:jc w:val="center"/>
      <w:rPr>
        <w:rFonts w:ascii="Tahoma" w:hAnsi="Tahoma" w:cs="Tahoma"/>
        <w:sz w:val="20"/>
      </w:rPr>
    </w:pPr>
    <w:r w:rsidRPr="00DC624F">
      <w:rPr>
        <w:rFonts w:ascii="Tahoma" w:hAnsi="Tahoma" w:cs="Tahoma"/>
        <w:sz w:val="20"/>
      </w:rPr>
      <w:t>Charity Status</w:t>
    </w:r>
    <w:r>
      <w:rPr>
        <w:rFonts w:ascii="Tahoma" w:hAnsi="Tahoma" w:cs="Tahoma"/>
        <w:sz w:val="20"/>
      </w:rPr>
      <w:t xml:space="preserve"> Registration number </w:t>
    </w:r>
    <w:r w:rsidRPr="00DC624F">
      <w:rPr>
        <w:rFonts w:ascii="Tahoma" w:hAnsi="Tahoma" w:cs="Tahoma"/>
        <w:b/>
        <w:sz w:val="20"/>
      </w:rPr>
      <w:t>1140416</w:t>
    </w:r>
  </w:p>
  <w:p w14:paraId="55BAF994" w14:textId="77777777" w:rsidR="00AF35DD" w:rsidRDefault="00AF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6EB0" w14:textId="77777777" w:rsidR="00F740AE" w:rsidRDefault="00F740AE">
      <w:r>
        <w:separator/>
      </w:r>
    </w:p>
  </w:footnote>
  <w:footnote w:type="continuationSeparator" w:id="0">
    <w:p w14:paraId="348905A7" w14:textId="77777777" w:rsidR="00F740AE" w:rsidRDefault="00F7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52B9" w14:textId="1F8295E9" w:rsidR="00A677B1" w:rsidRDefault="00774C87">
    <w:pPr>
      <w:pStyle w:val="Header"/>
    </w:pPr>
    <w:r>
      <w:rPr>
        <w:noProof/>
      </w:rPr>
      <w:drawing>
        <wp:inline distT="0" distB="0" distL="0" distR="0" wp14:anchorId="20FA20B4" wp14:editId="46C8C6E2">
          <wp:extent cx="5715000" cy="1905000"/>
          <wp:effectExtent l="0" t="0" r="0" b="0"/>
          <wp:docPr id="1" name="Picture 1" descr="sd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A2E9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23EFE"/>
    <w:multiLevelType w:val="multilevel"/>
    <w:tmpl w:val="8EE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2485"/>
    <w:multiLevelType w:val="hybridMultilevel"/>
    <w:tmpl w:val="818410AC"/>
    <w:lvl w:ilvl="0" w:tplc="D41825C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50A6857"/>
    <w:multiLevelType w:val="hybridMultilevel"/>
    <w:tmpl w:val="4D5AF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90E3F"/>
    <w:multiLevelType w:val="hybridMultilevel"/>
    <w:tmpl w:val="80802C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192D0796"/>
    <w:multiLevelType w:val="hybridMultilevel"/>
    <w:tmpl w:val="803288AC"/>
    <w:lvl w:ilvl="0" w:tplc="6994E2B6">
      <w:start w:val="1"/>
      <w:numFmt w:val="bullet"/>
      <w:lvlText w:val=""/>
      <w:lvlJc w:val="left"/>
      <w:pPr>
        <w:tabs>
          <w:tab w:val="num" w:pos="360"/>
        </w:tabs>
        <w:ind w:left="360" w:hanging="360"/>
      </w:pPr>
      <w:rPr>
        <w:rFonts w:ascii="Wingdings" w:hAnsi="Wingdings" w:hint="default"/>
      </w:rPr>
    </w:lvl>
    <w:lvl w:ilvl="1" w:tplc="2564E268" w:tentative="1">
      <w:start w:val="1"/>
      <w:numFmt w:val="bullet"/>
      <w:lvlText w:val="o"/>
      <w:lvlJc w:val="left"/>
      <w:pPr>
        <w:tabs>
          <w:tab w:val="num" w:pos="1080"/>
        </w:tabs>
        <w:ind w:left="1080" w:hanging="360"/>
      </w:pPr>
      <w:rPr>
        <w:rFonts w:ascii="Courier New" w:hAnsi="Courier New" w:hint="default"/>
      </w:rPr>
    </w:lvl>
    <w:lvl w:ilvl="2" w:tplc="3AC030CA" w:tentative="1">
      <w:start w:val="1"/>
      <w:numFmt w:val="bullet"/>
      <w:lvlText w:val=""/>
      <w:lvlJc w:val="left"/>
      <w:pPr>
        <w:tabs>
          <w:tab w:val="num" w:pos="1800"/>
        </w:tabs>
        <w:ind w:left="1800" w:hanging="360"/>
      </w:pPr>
      <w:rPr>
        <w:rFonts w:ascii="Wingdings" w:hAnsi="Wingdings" w:hint="default"/>
      </w:rPr>
    </w:lvl>
    <w:lvl w:ilvl="3" w:tplc="358A624A" w:tentative="1">
      <w:start w:val="1"/>
      <w:numFmt w:val="bullet"/>
      <w:lvlText w:val=""/>
      <w:lvlJc w:val="left"/>
      <w:pPr>
        <w:tabs>
          <w:tab w:val="num" w:pos="2520"/>
        </w:tabs>
        <w:ind w:left="2520" w:hanging="360"/>
      </w:pPr>
      <w:rPr>
        <w:rFonts w:ascii="Symbol" w:hAnsi="Symbol" w:hint="default"/>
      </w:rPr>
    </w:lvl>
    <w:lvl w:ilvl="4" w:tplc="1936B588" w:tentative="1">
      <w:start w:val="1"/>
      <w:numFmt w:val="bullet"/>
      <w:lvlText w:val="o"/>
      <w:lvlJc w:val="left"/>
      <w:pPr>
        <w:tabs>
          <w:tab w:val="num" w:pos="3240"/>
        </w:tabs>
        <w:ind w:left="3240" w:hanging="360"/>
      </w:pPr>
      <w:rPr>
        <w:rFonts w:ascii="Courier New" w:hAnsi="Courier New" w:hint="default"/>
      </w:rPr>
    </w:lvl>
    <w:lvl w:ilvl="5" w:tplc="B4A4799E" w:tentative="1">
      <w:start w:val="1"/>
      <w:numFmt w:val="bullet"/>
      <w:lvlText w:val=""/>
      <w:lvlJc w:val="left"/>
      <w:pPr>
        <w:tabs>
          <w:tab w:val="num" w:pos="3960"/>
        </w:tabs>
        <w:ind w:left="3960" w:hanging="360"/>
      </w:pPr>
      <w:rPr>
        <w:rFonts w:ascii="Wingdings" w:hAnsi="Wingdings" w:hint="default"/>
      </w:rPr>
    </w:lvl>
    <w:lvl w:ilvl="6" w:tplc="1B0013DC" w:tentative="1">
      <w:start w:val="1"/>
      <w:numFmt w:val="bullet"/>
      <w:lvlText w:val=""/>
      <w:lvlJc w:val="left"/>
      <w:pPr>
        <w:tabs>
          <w:tab w:val="num" w:pos="4680"/>
        </w:tabs>
        <w:ind w:left="4680" w:hanging="360"/>
      </w:pPr>
      <w:rPr>
        <w:rFonts w:ascii="Symbol" w:hAnsi="Symbol" w:hint="default"/>
      </w:rPr>
    </w:lvl>
    <w:lvl w:ilvl="7" w:tplc="607CF8A2" w:tentative="1">
      <w:start w:val="1"/>
      <w:numFmt w:val="bullet"/>
      <w:lvlText w:val="o"/>
      <w:lvlJc w:val="left"/>
      <w:pPr>
        <w:tabs>
          <w:tab w:val="num" w:pos="5400"/>
        </w:tabs>
        <w:ind w:left="5400" w:hanging="360"/>
      </w:pPr>
      <w:rPr>
        <w:rFonts w:ascii="Courier New" w:hAnsi="Courier New" w:hint="default"/>
      </w:rPr>
    </w:lvl>
    <w:lvl w:ilvl="8" w:tplc="1028380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21268"/>
    <w:multiLevelType w:val="multilevel"/>
    <w:tmpl w:val="8BD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16C83"/>
    <w:multiLevelType w:val="hybridMultilevel"/>
    <w:tmpl w:val="77BAB2B8"/>
    <w:lvl w:ilvl="0" w:tplc="02FE359C">
      <w:start w:val="1"/>
      <w:numFmt w:val="bullet"/>
      <w:lvlText w:val=""/>
      <w:lvlJc w:val="left"/>
      <w:pPr>
        <w:tabs>
          <w:tab w:val="num" w:pos="720"/>
        </w:tabs>
        <w:ind w:left="720" w:hanging="360"/>
      </w:pPr>
      <w:rPr>
        <w:rFonts w:ascii="Wingdings" w:hAnsi="Wingdings" w:hint="default"/>
      </w:rPr>
    </w:lvl>
    <w:lvl w:ilvl="1" w:tplc="1E26E892" w:tentative="1">
      <w:start w:val="1"/>
      <w:numFmt w:val="bullet"/>
      <w:lvlText w:val="o"/>
      <w:lvlJc w:val="left"/>
      <w:pPr>
        <w:tabs>
          <w:tab w:val="num" w:pos="1440"/>
        </w:tabs>
        <w:ind w:left="1440" w:hanging="360"/>
      </w:pPr>
      <w:rPr>
        <w:rFonts w:ascii="Courier New" w:hAnsi="Courier New" w:hint="default"/>
      </w:rPr>
    </w:lvl>
    <w:lvl w:ilvl="2" w:tplc="B8AC2826" w:tentative="1">
      <w:start w:val="1"/>
      <w:numFmt w:val="bullet"/>
      <w:lvlText w:val=""/>
      <w:lvlJc w:val="left"/>
      <w:pPr>
        <w:tabs>
          <w:tab w:val="num" w:pos="2160"/>
        </w:tabs>
        <w:ind w:left="2160" w:hanging="360"/>
      </w:pPr>
      <w:rPr>
        <w:rFonts w:ascii="Wingdings" w:hAnsi="Wingdings" w:hint="default"/>
      </w:rPr>
    </w:lvl>
    <w:lvl w:ilvl="3" w:tplc="975C4C04" w:tentative="1">
      <w:start w:val="1"/>
      <w:numFmt w:val="bullet"/>
      <w:lvlText w:val=""/>
      <w:lvlJc w:val="left"/>
      <w:pPr>
        <w:tabs>
          <w:tab w:val="num" w:pos="2880"/>
        </w:tabs>
        <w:ind w:left="2880" w:hanging="360"/>
      </w:pPr>
      <w:rPr>
        <w:rFonts w:ascii="Symbol" w:hAnsi="Symbol" w:hint="default"/>
      </w:rPr>
    </w:lvl>
    <w:lvl w:ilvl="4" w:tplc="8AE28C70" w:tentative="1">
      <w:start w:val="1"/>
      <w:numFmt w:val="bullet"/>
      <w:lvlText w:val="o"/>
      <w:lvlJc w:val="left"/>
      <w:pPr>
        <w:tabs>
          <w:tab w:val="num" w:pos="3600"/>
        </w:tabs>
        <w:ind w:left="3600" w:hanging="360"/>
      </w:pPr>
      <w:rPr>
        <w:rFonts w:ascii="Courier New" w:hAnsi="Courier New" w:hint="default"/>
      </w:rPr>
    </w:lvl>
    <w:lvl w:ilvl="5" w:tplc="18AE0F74" w:tentative="1">
      <w:start w:val="1"/>
      <w:numFmt w:val="bullet"/>
      <w:lvlText w:val=""/>
      <w:lvlJc w:val="left"/>
      <w:pPr>
        <w:tabs>
          <w:tab w:val="num" w:pos="4320"/>
        </w:tabs>
        <w:ind w:left="4320" w:hanging="360"/>
      </w:pPr>
      <w:rPr>
        <w:rFonts w:ascii="Wingdings" w:hAnsi="Wingdings" w:hint="default"/>
      </w:rPr>
    </w:lvl>
    <w:lvl w:ilvl="6" w:tplc="11C05BDC" w:tentative="1">
      <w:start w:val="1"/>
      <w:numFmt w:val="bullet"/>
      <w:lvlText w:val=""/>
      <w:lvlJc w:val="left"/>
      <w:pPr>
        <w:tabs>
          <w:tab w:val="num" w:pos="5040"/>
        </w:tabs>
        <w:ind w:left="5040" w:hanging="360"/>
      </w:pPr>
      <w:rPr>
        <w:rFonts w:ascii="Symbol" w:hAnsi="Symbol" w:hint="default"/>
      </w:rPr>
    </w:lvl>
    <w:lvl w:ilvl="7" w:tplc="6A00E468" w:tentative="1">
      <w:start w:val="1"/>
      <w:numFmt w:val="bullet"/>
      <w:lvlText w:val="o"/>
      <w:lvlJc w:val="left"/>
      <w:pPr>
        <w:tabs>
          <w:tab w:val="num" w:pos="5760"/>
        </w:tabs>
        <w:ind w:left="5760" w:hanging="360"/>
      </w:pPr>
      <w:rPr>
        <w:rFonts w:ascii="Courier New" w:hAnsi="Courier New" w:hint="default"/>
      </w:rPr>
    </w:lvl>
    <w:lvl w:ilvl="8" w:tplc="213C4A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47AA9"/>
    <w:multiLevelType w:val="hybridMultilevel"/>
    <w:tmpl w:val="98849A5E"/>
    <w:lvl w:ilvl="0" w:tplc="B4D00C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D3162F"/>
    <w:multiLevelType w:val="hybridMultilevel"/>
    <w:tmpl w:val="6064479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3CD8629C"/>
    <w:multiLevelType w:val="hybridMultilevel"/>
    <w:tmpl w:val="86ECA6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0B7DA5"/>
    <w:multiLevelType w:val="hybridMultilevel"/>
    <w:tmpl w:val="12BC3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5A423C"/>
    <w:multiLevelType w:val="multilevel"/>
    <w:tmpl w:val="6146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C4B15"/>
    <w:multiLevelType w:val="hybridMultilevel"/>
    <w:tmpl w:val="62689AA2"/>
    <w:lvl w:ilvl="0" w:tplc="F4F2772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4" w15:restartNumberingAfterBreak="0">
    <w:nsid w:val="4A6433A6"/>
    <w:multiLevelType w:val="multilevel"/>
    <w:tmpl w:val="44B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72537"/>
    <w:multiLevelType w:val="multilevel"/>
    <w:tmpl w:val="E518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83074"/>
    <w:multiLevelType w:val="hybridMultilevel"/>
    <w:tmpl w:val="00AA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8266F"/>
    <w:multiLevelType w:val="hybridMultilevel"/>
    <w:tmpl w:val="31C49054"/>
    <w:lvl w:ilvl="0" w:tplc="D2AE0222">
      <w:start w:val="1"/>
      <w:numFmt w:val="bullet"/>
      <w:lvlText w:val=""/>
      <w:lvlJc w:val="left"/>
      <w:pPr>
        <w:tabs>
          <w:tab w:val="num" w:pos="181"/>
        </w:tabs>
        <w:ind w:left="181" w:hanging="360"/>
      </w:pPr>
      <w:rPr>
        <w:rFonts w:ascii="Wingdings" w:hAnsi="Wingdings" w:hint="default"/>
      </w:rPr>
    </w:lvl>
    <w:lvl w:ilvl="1" w:tplc="3076828E" w:tentative="1">
      <w:start w:val="1"/>
      <w:numFmt w:val="bullet"/>
      <w:lvlText w:val="o"/>
      <w:lvlJc w:val="left"/>
      <w:pPr>
        <w:tabs>
          <w:tab w:val="num" w:pos="901"/>
        </w:tabs>
        <w:ind w:left="901" w:hanging="360"/>
      </w:pPr>
      <w:rPr>
        <w:rFonts w:ascii="Courier New" w:hAnsi="Courier New" w:hint="default"/>
      </w:rPr>
    </w:lvl>
    <w:lvl w:ilvl="2" w:tplc="059462BC" w:tentative="1">
      <w:start w:val="1"/>
      <w:numFmt w:val="bullet"/>
      <w:lvlText w:val=""/>
      <w:lvlJc w:val="left"/>
      <w:pPr>
        <w:tabs>
          <w:tab w:val="num" w:pos="1621"/>
        </w:tabs>
        <w:ind w:left="1621" w:hanging="360"/>
      </w:pPr>
      <w:rPr>
        <w:rFonts w:ascii="Wingdings" w:hAnsi="Wingdings" w:hint="default"/>
      </w:rPr>
    </w:lvl>
    <w:lvl w:ilvl="3" w:tplc="33A8445E" w:tentative="1">
      <w:start w:val="1"/>
      <w:numFmt w:val="bullet"/>
      <w:lvlText w:val=""/>
      <w:lvlJc w:val="left"/>
      <w:pPr>
        <w:tabs>
          <w:tab w:val="num" w:pos="2341"/>
        </w:tabs>
        <w:ind w:left="2341" w:hanging="360"/>
      </w:pPr>
      <w:rPr>
        <w:rFonts w:ascii="Symbol" w:hAnsi="Symbol" w:hint="default"/>
      </w:rPr>
    </w:lvl>
    <w:lvl w:ilvl="4" w:tplc="49BC4484" w:tentative="1">
      <w:start w:val="1"/>
      <w:numFmt w:val="bullet"/>
      <w:lvlText w:val="o"/>
      <w:lvlJc w:val="left"/>
      <w:pPr>
        <w:tabs>
          <w:tab w:val="num" w:pos="3061"/>
        </w:tabs>
        <w:ind w:left="3061" w:hanging="360"/>
      </w:pPr>
      <w:rPr>
        <w:rFonts w:ascii="Courier New" w:hAnsi="Courier New" w:hint="default"/>
      </w:rPr>
    </w:lvl>
    <w:lvl w:ilvl="5" w:tplc="F97C95E6" w:tentative="1">
      <w:start w:val="1"/>
      <w:numFmt w:val="bullet"/>
      <w:lvlText w:val=""/>
      <w:lvlJc w:val="left"/>
      <w:pPr>
        <w:tabs>
          <w:tab w:val="num" w:pos="3781"/>
        </w:tabs>
        <w:ind w:left="3781" w:hanging="360"/>
      </w:pPr>
      <w:rPr>
        <w:rFonts w:ascii="Wingdings" w:hAnsi="Wingdings" w:hint="default"/>
      </w:rPr>
    </w:lvl>
    <w:lvl w:ilvl="6" w:tplc="0AC6BC80" w:tentative="1">
      <w:start w:val="1"/>
      <w:numFmt w:val="bullet"/>
      <w:lvlText w:val=""/>
      <w:lvlJc w:val="left"/>
      <w:pPr>
        <w:tabs>
          <w:tab w:val="num" w:pos="4501"/>
        </w:tabs>
        <w:ind w:left="4501" w:hanging="360"/>
      </w:pPr>
      <w:rPr>
        <w:rFonts w:ascii="Symbol" w:hAnsi="Symbol" w:hint="default"/>
      </w:rPr>
    </w:lvl>
    <w:lvl w:ilvl="7" w:tplc="14FC8940" w:tentative="1">
      <w:start w:val="1"/>
      <w:numFmt w:val="bullet"/>
      <w:lvlText w:val="o"/>
      <w:lvlJc w:val="left"/>
      <w:pPr>
        <w:tabs>
          <w:tab w:val="num" w:pos="5221"/>
        </w:tabs>
        <w:ind w:left="5221" w:hanging="360"/>
      </w:pPr>
      <w:rPr>
        <w:rFonts w:ascii="Courier New" w:hAnsi="Courier New" w:hint="default"/>
      </w:rPr>
    </w:lvl>
    <w:lvl w:ilvl="8" w:tplc="D36C8492" w:tentative="1">
      <w:start w:val="1"/>
      <w:numFmt w:val="bullet"/>
      <w:lvlText w:val=""/>
      <w:lvlJc w:val="left"/>
      <w:pPr>
        <w:tabs>
          <w:tab w:val="num" w:pos="5941"/>
        </w:tabs>
        <w:ind w:left="5941" w:hanging="360"/>
      </w:pPr>
      <w:rPr>
        <w:rFonts w:ascii="Wingdings" w:hAnsi="Wingdings" w:hint="default"/>
      </w:rPr>
    </w:lvl>
  </w:abstractNum>
  <w:abstractNum w:abstractNumId="18" w15:restartNumberingAfterBreak="0">
    <w:nsid w:val="53BD4C3A"/>
    <w:multiLevelType w:val="hybridMultilevel"/>
    <w:tmpl w:val="14C086E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92C48"/>
    <w:multiLevelType w:val="hybridMultilevel"/>
    <w:tmpl w:val="0E52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3415B3"/>
    <w:multiLevelType w:val="hybridMultilevel"/>
    <w:tmpl w:val="77BAB2B8"/>
    <w:lvl w:ilvl="0" w:tplc="121870DE">
      <w:start w:val="1"/>
      <w:numFmt w:val="bullet"/>
      <w:lvlText w:val=""/>
      <w:lvlJc w:val="left"/>
      <w:pPr>
        <w:tabs>
          <w:tab w:val="num" w:pos="720"/>
        </w:tabs>
        <w:ind w:left="720" w:hanging="360"/>
      </w:pPr>
      <w:rPr>
        <w:rFonts w:ascii="Wingdings" w:hAnsi="Wingdings" w:hint="default"/>
      </w:rPr>
    </w:lvl>
    <w:lvl w:ilvl="1" w:tplc="4DCCE48E" w:tentative="1">
      <w:start w:val="1"/>
      <w:numFmt w:val="bullet"/>
      <w:lvlText w:val="o"/>
      <w:lvlJc w:val="left"/>
      <w:pPr>
        <w:tabs>
          <w:tab w:val="num" w:pos="1440"/>
        </w:tabs>
        <w:ind w:left="1440" w:hanging="360"/>
      </w:pPr>
      <w:rPr>
        <w:rFonts w:ascii="Courier New" w:hAnsi="Courier New" w:hint="default"/>
      </w:rPr>
    </w:lvl>
    <w:lvl w:ilvl="2" w:tplc="E1BC69C8" w:tentative="1">
      <w:start w:val="1"/>
      <w:numFmt w:val="bullet"/>
      <w:lvlText w:val=""/>
      <w:lvlJc w:val="left"/>
      <w:pPr>
        <w:tabs>
          <w:tab w:val="num" w:pos="2160"/>
        </w:tabs>
        <w:ind w:left="2160" w:hanging="360"/>
      </w:pPr>
      <w:rPr>
        <w:rFonts w:ascii="Wingdings" w:hAnsi="Wingdings" w:hint="default"/>
      </w:rPr>
    </w:lvl>
    <w:lvl w:ilvl="3" w:tplc="86A84BF4" w:tentative="1">
      <w:start w:val="1"/>
      <w:numFmt w:val="bullet"/>
      <w:lvlText w:val=""/>
      <w:lvlJc w:val="left"/>
      <w:pPr>
        <w:tabs>
          <w:tab w:val="num" w:pos="2880"/>
        </w:tabs>
        <w:ind w:left="2880" w:hanging="360"/>
      </w:pPr>
      <w:rPr>
        <w:rFonts w:ascii="Symbol" w:hAnsi="Symbol" w:hint="default"/>
      </w:rPr>
    </w:lvl>
    <w:lvl w:ilvl="4" w:tplc="26BEA1B2" w:tentative="1">
      <w:start w:val="1"/>
      <w:numFmt w:val="bullet"/>
      <w:lvlText w:val="o"/>
      <w:lvlJc w:val="left"/>
      <w:pPr>
        <w:tabs>
          <w:tab w:val="num" w:pos="3600"/>
        </w:tabs>
        <w:ind w:left="3600" w:hanging="360"/>
      </w:pPr>
      <w:rPr>
        <w:rFonts w:ascii="Courier New" w:hAnsi="Courier New" w:hint="default"/>
      </w:rPr>
    </w:lvl>
    <w:lvl w:ilvl="5" w:tplc="A790C140" w:tentative="1">
      <w:start w:val="1"/>
      <w:numFmt w:val="bullet"/>
      <w:lvlText w:val=""/>
      <w:lvlJc w:val="left"/>
      <w:pPr>
        <w:tabs>
          <w:tab w:val="num" w:pos="4320"/>
        </w:tabs>
        <w:ind w:left="4320" w:hanging="360"/>
      </w:pPr>
      <w:rPr>
        <w:rFonts w:ascii="Wingdings" w:hAnsi="Wingdings" w:hint="default"/>
      </w:rPr>
    </w:lvl>
    <w:lvl w:ilvl="6" w:tplc="5E2E8586" w:tentative="1">
      <w:start w:val="1"/>
      <w:numFmt w:val="bullet"/>
      <w:lvlText w:val=""/>
      <w:lvlJc w:val="left"/>
      <w:pPr>
        <w:tabs>
          <w:tab w:val="num" w:pos="5040"/>
        </w:tabs>
        <w:ind w:left="5040" w:hanging="360"/>
      </w:pPr>
      <w:rPr>
        <w:rFonts w:ascii="Symbol" w:hAnsi="Symbol" w:hint="default"/>
      </w:rPr>
    </w:lvl>
    <w:lvl w:ilvl="7" w:tplc="D24AEDE2" w:tentative="1">
      <w:start w:val="1"/>
      <w:numFmt w:val="bullet"/>
      <w:lvlText w:val="o"/>
      <w:lvlJc w:val="left"/>
      <w:pPr>
        <w:tabs>
          <w:tab w:val="num" w:pos="5760"/>
        </w:tabs>
        <w:ind w:left="5760" w:hanging="360"/>
      </w:pPr>
      <w:rPr>
        <w:rFonts w:ascii="Courier New" w:hAnsi="Courier New" w:hint="default"/>
      </w:rPr>
    </w:lvl>
    <w:lvl w:ilvl="8" w:tplc="97BC6B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602DB"/>
    <w:multiLevelType w:val="hybridMultilevel"/>
    <w:tmpl w:val="883E382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61AD6C4A"/>
    <w:multiLevelType w:val="hybridMultilevel"/>
    <w:tmpl w:val="47E0C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811EA1"/>
    <w:multiLevelType w:val="hybridMultilevel"/>
    <w:tmpl w:val="73D41B80"/>
    <w:lvl w:ilvl="0" w:tplc="08090001">
      <w:start w:val="1"/>
      <w:numFmt w:val="bullet"/>
      <w:lvlText w:val=""/>
      <w:lvlJc w:val="left"/>
      <w:pPr>
        <w:ind w:left="87"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24" w15:restartNumberingAfterBreak="0">
    <w:nsid w:val="77A7092C"/>
    <w:multiLevelType w:val="hybridMultilevel"/>
    <w:tmpl w:val="0A50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A28F3"/>
    <w:multiLevelType w:val="hybridMultilevel"/>
    <w:tmpl w:val="4B9E75AE"/>
    <w:lvl w:ilvl="0" w:tplc="7A860BC4">
      <w:start w:val="1"/>
      <w:numFmt w:val="bullet"/>
      <w:lvlText w:val=""/>
      <w:lvlJc w:val="left"/>
      <w:pPr>
        <w:tabs>
          <w:tab w:val="num" w:pos="180"/>
        </w:tabs>
        <w:ind w:left="180" w:hanging="360"/>
      </w:pPr>
      <w:rPr>
        <w:rFonts w:ascii="Symbol" w:hAnsi="Symbol" w:hint="default"/>
      </w:rPr>
    </w:lvl>
    <w:lvl w:ilvl="1" w:tplc="B0F41504" w:tentative="1">
      <w:start w:val="1"/>
      <w:numFmt w:val="bullet"/>
      <w:lvlText w:val="o"/>
      <w:lvlJc w:val="left"/>
      <w:pPr>
        <w:tabs>
          <w:tab w:val="num" w:pos="900"/>
        </w:tabs>
        <w:ind w:left="900" w:hanging="360"/>
      </w:pPr>
      <w:rPr>
        <w:rFonts w:ascii="Courier New" w:hAnsi="Courier New" w:hint="default"/>
      </w:rPr>
    </w:lvl>
    <w:lvl w:ilvl="2" w:tplc="A1D29840" w:tentative="1">
      <w:start w:val="1"/>
      <w:numFmt w:val="bullet"/>
      <w:lvlText w:val=""/>
      <w:lvlJc w:val="left"/>
      <w:pPr>
        <w:tabs>
          <w:tab w:val="num" w:pos="1620"/>
        </w:tabs>
        <w:ind w:left="1620" w:hanging="360"/>
      </w:pPr>
      <w:rPr>
        <w:rFonts w:ascii="Wingdings" w:hAnsi="Wingdings" w:hint="default"/>
      </w:rPr>
    </w:lvl>
    <w:lvl w:ilvl="3" w:tplc="5E88FDC8" w:tentative="1">
      <w:start w:val="1"/>
      <w:numFmt w:val="bullet"/>
      <w:lvlText w:val=""/>
      <w:lvlJc w:val="left"/>
      <w:pPr>
        <w:tabs>
          <w:tab w:val="num" w:pos="2340"/>
        </w:tabs>
        <w:ind w:left="2340" w:hanging="360"/>
      </w:pPr>
      <w:rPr>
        <w:rFonts w:ascii="Symbol" w:hAnsi="Symbol" w:hint="default"/>
      </w:rPr>
    </w:lvl>
    <w:lvl w:ilvl="4" w:tplc="A2422C5E" w:tentative="1">
      <w:start w:val="1"/>
      <w:numFmt w:val="bullet"/>
      <w:lvlText w:val="o"/>
      <w:lvlJc w:val="left"/>
      <w:pPr>
        <w:tabs>
          <w:tab w:val="num" w:pos="3060"/>
        </w:tabs>
        <w:ind w:left="3060" w:hanging="360"/>
      </w:pPr>
      <w:rPr>
        <w:rFonts w:ascii="Courier New" w:hAnsi="Courier New" w:hint="default"/>
      </w:rPr>
    </w:lvl>
    <w:lvl w:ilvl="5" w:tplc="70B0B1F6" w:tentative="1">
      <w:start w:val="1"/>
      <w:numFmt w:val="bullet"/>
      <w:lvlText w:val=""/>
      <w:lvlJc w:val="left"/>
      <w:pPr>
        <w:tabs>
          <w:tab w:val="num" w:pos="3780"/>
        </w:tabs>
        <w:ind w:left="3780" w:hanging="360"/>
      </w:pPr>
      <w:rPr>
        <w:rFonts w:ascii="Wingdings" w:hAnsi="Wingdings" w:hint="default"/>
      </w:rPr>
    </w:lvl>
    <w:lvl w:ilvl="6" w:tplc="D8025C98" w:tentative="1">
      <w:start w:val="1"/>
      <w:numFmt w:val="bullet"/>
      <w:lvlText w:val=""/>
      <w:lvlJc w:val="left"/>
      <w:pPr>
        <w:tabs>
          <w:tab w:val="num" w:pos="4500"/>
        </w:tabs>
        <w:ind w:left="4500" w:hanging="360"/>
      </w:pPr>
      <w:rPr>
        <w:rFonts w:ascii="Symbol" w:hAnsi="Symbol" w:hint="default"/>
      </w:rPr>
    </w:lvl>
    <w:lvl w:ilvl="7" w:tplc="A950EA1A" w:tentative="1">
      <w:start w:val="1"/>
      <w:numFmt w:val="bullet"/>
      <w:lvlText w:val="o"/>
      <w:lvlJc w:val="left"/>
      <w:pPr>
        <w:tabs>
          <w:tab w:val="num" w:pos="5220"/>
        </w:tabs>
        <w:ind w:left="5220" w:hanging="360"/>
      </w:pPr>
      <w:rPr>
        <w:rFonts w:ascii="Courier New" w:hAnsi="Courier New" w:hint="default"/>
      </w:rPr>
    </w:lvl>
    <w:lvl w:ilvl="8" w:tplc="9B823360"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C6D3DA5"/>
    <w:multiLevelType w:val="multilevel"/>
    <w:tmpl w:val="24F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947E3"/>
    <w:multiLevelType w:val="hybridMultilevel"/>
    <w:tmpl w:val="81C6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527598"/>
    <w:multiLevelType w:val="hybridMultilevel"/>
    <w:tmpl w:val="F01617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7"/>
  </w:num>
  <w:num w:numId="4">
    <w:abstractNumId w:val="7"/>
  </w:num>
  <w:num w:numId="5">
    <w:abstractNumId w:val="20"/>
  </w:num>
  <w:num w:numId="6">
    <w:abstractNumId w:val="25"/>
  </w:num>
  <w:num w:numId="7">
    <w:abstractNumId w:val="28"/>
  </w:num>
  <w:num w:numId="8">
    <w:abstractNumId w:val="24"/>
  </w:num>
  <w:num w:numId="9">
    <w:abstractNumId w:val="4"/>
  </w:num>
  <w:num w:numId="10">
    <w:abstractNumId w:val="13"/>
  </w:num>
  <w:num w:numId="11">
    <w:abstractNumId w:val="23"/>
  </w:num>
  <w:num w:numId="12">
    <w:abstractNumId w:val="16"/>
  </w:num>
  <w:num w:numId="13">
    <w:abstractNumId w:val="21"/>
  </w:num>
  <w:num w:numId="14">
    <w:abstractNumId w:val="2"/>
  </w:num>
  <w:num w:numId="15">
    <w:abstractNumId w:val="26"/>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num>
  <w:num w:numId="18">
    <w:abstractNumId w:val="22"/>
  </w:num>
  <w:num w:numId="19">
    <w:abstractNumId w:val="8"/>
  </w:num>
  <w:num w:numId="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9"/>
  </w:num>
  <w:num w:numId="24">
    <w:abstractNumId w:val="11"/>
  </w:num>
  <w:num w:numId="25">
    <w:abstractNumId w:val="9"/>
  </w:num>
  <w:num w:numId="26">
    <w:abstractNumId w:val="18"/>
  </w:num>
  <w:num w:numId="27">
    <w:abstractNumId w:val="10"/>
  </w:num>
  <w:num w:numId="28">
    <w:abstractNumId w:val="27"/>
  </w:num>
  <w:num w:numId="29">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17"/>
    <w:rsid w:val="0005420D"/>
    <w:rsid w:val="00080666"/>
    <w:rsid w:val="00093C1C"/>
    <w:rsid w:val="000B41F2"/>
    <w:rsid w:val="000E35CB"/>
    <w:rsid w:val="000F45B3"/>
    <w:rsid w:val="0011023D"/>
    <w:rsid w:val="001146E3"/>
    <w:rsid w:val="001A4AE4"/>
    <w:rsid w:val="001A6578"/>
    <w:rsid w:val="001B6BF8"/>
    <w:rsid w:val="001F1250"/>
    <w:rsid w:val="00236EDB"/>
    <w:rsid w:val="0029475A"/>
    <w:rsid w:val="002A100F"/>
    <w:rsid w:val="002B2045"/>
    <w:rsid w:val="003440BD"/>
    <w:rsid w:val="00356C93"/>
    <w:rsid w:val="00365AA6"/>
    <w:rsid w:val="003759BC"/>
    <w:rsid w:val="00375D9B"/>
    <w:rsid w:val="00391861"/>
    <w:rsid w:val="003C4BDB"/>
    <w:rsid w:val="003E18A0"/>
    <w:rsid w:val="0042076F"/>
    <w:rsid w:val="00426EF9"/>
    <w:rsid w:val="00427D3F"/>
    <w:rsid w:val="00455F49"/>
    <w:rsid w:val="0049646A"/>
    <w:rsid w:val="004A1AC3"/>
    <w:rsid w:val="004A35C0"/>
    <w:rsid w:val="004C230B"/>
    <w:rsid w:val="004C7537"/>
    <w:rsid w:val="004E3303"/>
    <w:rsid w:val="005051BD"/>
    <w:rsid w:val="005330F4"/>
    <w:rsid w:val="00537751"/>
    <w:rsid w:val="005E1363"/>
    <w:rsid w:val="0061335D"/>
    <w:rsid w:val="00626BC7"/>
    <w:rsid w:val="006359E5"/>
    <w:rsid w:val="00691B86"/>
    <w:rsid w:val="00710F3A"/>
    <w:rsid w:val="007312D3"/>
    <w:rsid w:val="007548B0"/>
    <w:rsid w:val="00774C87"/>
    <w:rsid w:val="007A7596"/>
    <w:rsid w:val="007C0D20"/>
    <w:rsid w:val="007C6D47"/>
    <w:rsid w:val="007D01DB"/>
    <w:rsid w:val="0083305B"/>
    <w:rsid w:val="00842111"/>
    <w:rsid w:val="00866106"/>
    <w:rsid w:val="008C172A"/>
    <w:rsid w:val="00902232"/>
    <w:rsid w:val="00933EDB"/>
    <w:rsid w:val="009465A4"/>
    <w:rsid w:val="00961B13"/>
    <w:rsid w:val="00965FB2"/>
    <w:rsid w:val="009912DC"/>
    <w:rsid w:val="00995E56"/>
    <w:rsid w:val="009B502D"/>
    <w:rsid w:val="009C0632"/>
    <w:rsid w:val="009C3089"/>
    <w:rsid w:val="009C34EF"/>
    <w:rsid w:val="009C5ED4"/>
    <w:rsid w:val="00A16CE9"/>
    <w:rsid w:val="00A677B1"/>
    <w:rsid w:val="00A801A9"/>
    <w:rsid w:val="00A816FA"/>
    <w:rsid w:val="00A849D4"/>
    <w:rsid w:val="00AA1F83"/>
    <w:rsid w:val="00AA5BFC"/>
    <w:rsid w:val="00AB110D"/>
    <w:rsid w:val="00AD7B17"/>
    <w:rsid w:val="00AF1E9F"/>
    <w:rsid w:val="00AF35DD"/>
    <w:rsid w:val="00B2441D"/>
    <w:rsid w:val="00B44D27"/>
    <w:rsid w:val="00B529AA"/>
    <w:rsid w:val="00B54F53"/>
    <w:rsid w:val="00B6108B"/>
    <w:rsid w:val="00B61251"/>
    <w:rsid w:val="00B82F23"/>
    <w:rsid w:val="00B84F29"/>
    <w:rsid w:val="00BA4528"/>
    <w:rsid w:val="00BC335E"/>
    <w:rsid w:val="00BE0681"/>
    <w:rsid w:val="00C077FD"/>
    <w:rsid w:val="00C11B00"/>
    <w:rsid w:val="00C15083"/>
    <w:rsid w:val="00C20017"/>
    <w:rsid w:val="00C4737D"/>
    <w:rsid w:val="00C548E3"/>
    <w:rsid w:val="00C54F41"/>
    <w:rsid w:val="00D03D53"/>
    <w:rsid w:val="00D32A82"/>
    <w:rsid w:val="00D427AB"/>
    <w:rsid w:val="00D5248E"/>
    <w:rsid w:val="00D544F1"/>
    <w:rsid w:val="00D87F44"/>
    <w:rsid w:val="00DB30A9"/>
    <w:rsid w:val="00DB6754"/>
    <w:rsid w:val="00E72953"/>
    <w:rsid w:val="00E73A73"/>
    <w:rsid w:val="00E73EF8"/>
    <w:rsid w:val="00E86315"/>
    <w:rsid w:val="00EA0B3D"/>
    <w:rsid w:val="00EB16F9"/>
    <w:rsid w:val="00ED711F"/>
    <w:rsid w:val="00F159B6"/>
    <w:rsid w:val="00F23A65"/>
    <w:rsid w:val="00F23ACE"/>
    <w:rsid w:val="00F24F80"/>
    <w:rsid w:val="00F46BE7"/>
    <w:rsid w:val="00F51021"/>
    <w:rsid w:val="00F6692B"/>
    <w:rsid w:val="00F71EB9"/>
    <w:rsid w:val="00F740AE"/>
    <w:rsid w:val="00F76433"/>
    <w:rsid w:val="00FB0350"/>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490dff,#cc1c42,#c6f,#96f"/>
    </o:shapedefaults>
    <o:shapelayout v:ext="edit">
      <o:idmap v:ext="edit" data="1"/>
    </o:shapelayout>
  </w:shapeDefaults>
  <w:decimalSymbol w:val="."/>
  <w:listSeparator w:val=","/>
  <w14:docId w14:val="4A8FED68"/>
  <w15:chartTrackingRefBased/>
  <w15:docId w15:val="{09A0F8F5-090E-4D1E-A178-08629F4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jc w:val="both"/>
    </w:pPr>
    <w:rPr>
      <w:sz w:val="22"/>
      <w:lang w:eastAsia="en-US"/>
    </w:rPr>
  </w:style>
  <w:style w:type="paragraph" w:styleId="Heading1">
    <w:name w:val="heading 1"/>
    <w:basedOn w:val="Normal"/>
    <w:next w:val="Normal"/>
    <w:qFormat/>
    <w:pPr>
      <w:keepNext/>
      <w:outlineLvl w:val="0"/>
    </w:pPr>
    <w:rPr>
      <w:rFonts w:ascii="Century Gothic" w:hAnsi="Century Gothic"/>
      <w:b/>
      <w:sz w:val="32"/>
    </w:rPr>
  </w:style>
  <w:style w:type="paragraph" w:styleId="Heading2">
    <w:name w:val="heading 2"/>
    <w:basedOn w:val="Normal"/>
    <w:next w:val="Normal"/>
    <w:qFormat/>
    <w:pPr>
      <w:keepNext/>
      <w:spacing w:before="120" w:after="360"/>
      <w:ind w:left="-540" w:right="180"/>
      <w:jc w:val="left"/>
      <w:outlineLvl w:val="1"/>
    </w:pPr>
    <w:rPr>
      <w:rFonts w:ascii="Century Gothic" w:hAnsi="Century Gothic"/>
      <w:b/>
      <w:sz w:val="28"/>
    </w:rPr>
  </w:style>
  <w:style w:type="paragraph" w:styleId="Heading3">
    <w:name w:val="heading 3"/>
    <w:basedOn w:val="Normal"/>
    <w:next w:val="Normal"/>
    <w:qFormat/>
    <w:pPr>
      <w:keepNext/>
      <w:ind w:left="-720"/>
      <w:outlineLvl w:val="2"/>
    </w:pPr>
    <w:rPr>
      <w:rFonts w:ascii="Tahoma" w:hAnsi="Tahoma" w:cs="Tahoma"/>
      <w:b/>
      <w:bCs/>
    </w:rPr>
  </w:style>
  <w:style w:type="paragraph" w:styleId="Heading7">
    <w:name w:val="heading 7"/>
    <w:basedOn w:val="Normal"/>
    <w:next w:val="Normal"/>
    <w:qFormat/>
    <w:pPr>
      <w:keepNext/>
      <w:spacing w:after="0"/>
      <w:jc w:val="left"/>
      <w:outlineLvl w:val="6"/>
    </w:pPr>
    <w:rPr>
      <w:rFonts w:ascii="Tahoma" w:hAnsi="Tahoma" w:cs="Tahoma"/>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60"/>
      </w:tabs>
      <w:autoSpaceDE w:val="0"/>
      <w:autoSpaceDN w:val="0"/>
      <w:adjustRightInd w:val="0"/>
      <w:spacing w:after="0"/>
      <w:jc w:val="left"/>
    </w:pPr>
    <w:rPr>
      <w:rFonts w:ascii="Tahoma" w:hAnsi="Tahoma"/>
      <w:sz w:val="20"/>
    </w:rPr>
  </w:style>
  <w:style w:type="paragraph" w:styleId="ListBullet">
    <w:name w:val="List Bullet"/>
    <w:basedOn w:val="Normal"/>
    <w:pPr>
      <w:ind w:left="283" w:hanging="283"/>
    </w:pPr>
    <w:rPr>
      <w:rFonts w:ascii="Helv" w:hAnsi="Helv"/>
    </w:rPr>
  </w:style>
  <w:style w:type="paragraph" w:styleId="BodyTextIndent">
    <w:name w:val="Body Text Indent"/>
    <w:basedOn w:val="Normal"/>
    <w:pPr>
      <w:spacing w:line="280" w:lineRule="exact"/>
      <w:ind w:left="-539"/>
    </w:pPr>
    <w:rPr>
      <w:rFonts w:ascii="Tahoma" w:hAnsi="Tahoma"/>
      <w:sz w:val="20"/>
    </w:rPr>
  </w:style>
  <w:style w:type="paragraph" w:styleId="BodyText2">
    <w:name w:val="Body Text 2"/>
    <w:basedOn w:val="Normal"/>
    <w:pPr>
      <w:tabs>
        <w:tab w:val="left" w:pos="960"/>
      </w:tabs>
      <w:autoSpaceDE w:val="0"/>
      <w:autoSpaceDN w:val="0"/>
      <w:adjustRightInd w:val="0"/>
      <w:spacing w:after="0"/>
      <w:jc w:val="left"/>
    </w:pPr>
    <w:rPr>
      <w:rFonts w:ascii="Tahoma" w:hAnsi="Tahoma"/>
      <w:b/>
      <w:sz w:val="20"/>
    </w:rPr>
  </w:style>
  <w:style w:type="paragraph" w:styleId="BodyTextIndent2">
    <w:name w:val="Body Text Indent 2"/>
    <w:basedOn w:val="Normal"/>
    <w:pPr>
      <w:tabs>
        <w:tab w:val="left" w:pos="960"/>
      </w:tabs>
      <w:autoSpaceDE w:val="0"/>
      <w:autoSpaceDN w:val="0"/>
      <w:adjustRightInd w:val="0"/>
      <w:spacing w:after="0"/>
      <w:ind w:left="-540"/>
      <w:jc w:val="left"/>
    </w:pPr>
    <w:rPr>
      <w:rFonts w:ascii="Tahoma" w:hAnsi="Tahoma"/>
      <w:sz w:val="20"/>
    </w:rPr>
  </w:style>
  <w:style w:type="paragraph" w:styleId="BlockText">
    <w:name w:val="Block Text"/>
    <w:basedOn w:val="Normal"/>
    <w:pPr>
      <w:tabs>
        <w:tab w:val="left" w:pos="960"/>
      </w:tabs>
      <w:autoSpaceDE w:val="0"/>
      <w:autoSpaceDN w:val="0"/>
      <w:adjustRightInd w:val="0"/>
      <w:spacing w:after="0" w:line="280" w:lineRule="exact"/>
      <w:ind w:left="-539" w:right="-2444"/>
      <w:jc w:val="left"/>
    </w:pPr>
    <w:rPr>
      <w:rFonts w:ascii="Tahoma" w:hAnsi="Tahoma"/>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3">
    <w:name w:val="Body Text Indent 3"/>
    <w:basedOn w:val="Normal"/>
    <w:pPr>
      <w:tabs>
        <w:tab w:val="left" w:pos="960"/>
      </w:tabs>
      <w:autoSpaceDE w:val="0"/>
      <w:autoSpaceDN w:val="0"/>
      <w:adjustRightInd w:val="0"/>
      <w:spacing w:after="0"/>
      <w:ind w:left="-540"/>
      <w:jc w:val="left"/>
    </w:pPr>
    <w:rPr>
      <w:rFonts w:ascii="Tahoma" w:hAnsi="Tahoma" w:cs="Tahoma"/>
      <w:color w:val="000000"/>
      <w:sz w:val="20"/>
    </w:rPr>
  </w:style>
  <w:style w:type="paragraph" w:styleId="NormalWeb">
    <w:name w:val="Normal (Web)"/>
    <w:basedOn w:val="Normal"/>
    <w:uiPriority w:val="99"/>
    <w:unhideWhenUsed/>
    <w:rsid w:val="00C548E3"/>
    <w:rPr>
      <w:sz w:val="24"/>
      <w:szCs w:val="24"/>
    </w:rPr>
  </w:style>
  <w:style w:type="table" w:styleId="TableGrid">
    <w:name w:val="Table Grid"/>
    <w:basedOn w:val="TableNormal"/>
    <w:uiPriority w:val="59"/>
    <w:rsid w:val="00C5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A35C0"/>
    <w:pPr>
      <w:spacing w:after="0"/>
      <w:jc w:val="left"/>
    </w:pPr>
    <w:rPr>
      <w:rFonts w:eastAsia="Calibri"/>
      <w:sz w:val="24"/>
      <w:szCs w:val="24"/>
      <w:lang w:eastAsia="en-GB"/>
    </w:rPr>
  </w:style>
  <w:style w:type="paragraph" w:customStyle="1" w:styleId="Default">
    <w:name w:val="Default"/>
    <w:rsid w:val="00F24F80"/>
    <w:pPr>
      <w:autoSpaceDE w:val="0"/>
      <w:autoSpaceDN w:val="0"/>
      <w:adjustRightInd w:val="0"/>
    </w:pPr>
    <w:rPr>
      <w:rFonts w:ascii="Gill Sans MT" w:eastAsia="SimSun" w:hAnsi="Gill Sans MT" w:cs="Gill Sans MT"/>
      <w:color w:val="000000"/>
      <w:sz w:val="24"/>
      <w:szCs w:val="24"/>
      <w:lang w:eastAsia="zh-CN"/>
    </w:rPr>
  </w:style>
  <w:style w:type="character" w:styleId="Strong">
    <w:name w:val="Strong"/>
    <w:uiPriority w:val="22"/>
    <w:qFormat/>
    <w:rsid w:val="0011023D"/>
    <w:rPr>
      <w:b/>
      <w:bCs/>
    </w:rPr>
  </w:style>
  <w:style w:type="character" w:customStyle="1" w:styleId="ipa">
    <w:name w:val="ipa"/>
    <w:rsid w:val="00C4737D"/>
  </w:style>
  <w:style w:type="character" w:customStyle="1" w:styleId="FooterChar">
    <w:name w:val="Footer Char"/>
    <w:link w:val="Footer"/>
    <w:uiPriority w:val="99"/>
    <w:rsid w:val="00AF35DD"/>
    <w:rPr>
      <w:sz w:val="22"/>
      <w:lang w:eastAsia="en-US"/>
    </w:rPr>
  </w:style>
  <w:style w:type="character" w:customStyle="1" w:styleId="freebirdformviewerviewitemsitemrequiredasterisk">
    <w:name w:val="freebirdformviewerviewitemsitemrequiredasterisk"/>
    <w:rsid w:val="0042076F"/>
  </w:style>
  <w:style w:type="character" w:styleId="Emphasis">
    <w:name w:val="Emphasis"/>
    <w:uiPriority w:val="20"/>
    <w:qFormat/>
    <w:rsid w:val="00B61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504">
      <w:bodyDiv w:val="1"/>
      <w:marLeft w:val="0"/>
      <w:marRight w:val="0"/>
      <w:marTop w:val="0"/>
      <w:marBottom w:val="0"/>
      <w:divBdr>
        <w:top w:val="none" w:sz="0" w:space="0" w:color="auto"/>
        <w:left w:val="none" w:sz="0" w:space="0" w:color="auto"/>
        <w:bottom w:val="none" w:sz="0" w:space="0" w:color="auto"/>
        <w:right w:val="none" w:sz="0" w:space="0" w:color="auto"/>
      </w:divBdr>
    </w:div>
    <w:div w:id="312418011">
      <w:bodyDiv w:val="1"/>
      <w:marLeft w:val="0"/>
      <w:marRight w:val="0"/>
      <w:marTop w:val="0"/>
      <w:marBottom w:val="0"/>
      <w:divBdr>
        <w:top w:val="none" w:sz="0" w:space="0" w:color="auto"/>
        <w:left w:val="none" w:sz="0" w:space="0" w:color="auto"/>
        <w:bottom w:val="none" w:sz="0" w:space="0" w:color="auto"/>
        <w:right w:val="none" w:sz="0" w:space="0" w:color="auto"/>
      </w:divBdr>
      <w:divsChild>
        <w:div w:id="1379549696">
          <w:marLeft w:val="0"/>
          <w:marRight w:val="0"/>
          <w:marTop w:val="0"/>
          <w:marBottom w:val="0"/>
          <w:divBdr>
            <w:top w:val="none" w:sz="0" w:space="0" w:color="auto"/>
            <w:left w:val="none" w:sz="0" w:space="0" w:color="auto"/>
            <w:bottom w:val="none" w:sz="0" w:space="0" w:color="auto"/>
            <w:right w:val="none" w:sz="0" w:space="0" w:color="auto"/>
          </w:divBdr>
          <w:divsChild>
            <w:div w:id="1130439374">
              <w:marLeft w:val="0"/>
              <w:marRight w:val="0"/>
              <w:marTop w:val="0"/>
              <w:marBottom w:val="0"/>
              <w:divBdr>
                <w:top w:val="none" w:sz="0" w:space="0" w:color="auto"/>
                <w:left w:val="none" w:sz="0" w:space="0" w:color="auto"/>
                <w:bottom w:val="none" w:sz="0" w:space="0" w:color="auto"/>
                <w:right w:val="none" w:sz="0" w:space="0" w:color="auto"/>
              </w:divBdr>
              <w:divsChild>
                <w:div w:id="1686639622">
                  <w:marLeft w:val="0"/>
                  <w:marRight w:val="0"/>
                  <w:marTop w:val="0"/>
                  <w:marBottom w:val="0"/>
                  <w:divBdr>
                    <w:top w:val="single" w:sz="6" w:space="0" w:color="FFFFFF"/>
                    <w:left w:val="none" w:sz="0" w:space="0" w:color="auto"/>
                    <w:bottom w:val="none" w:sz="0" w:space="0" w:color="auto"/>
                    <w:right w:val="none" w:sz="0" w:space="0" w:color="auto"/>
                  </w:divBdr>
                  <w:divsChild>
                    <w:div w:id="616718619">
                      <w:marLeft w:val="0"/>
                      <w:marRight w:val="0"/>
                      <w:marTop w:val="0"/>
                      <w:marBottom w:val="0"/>
                      <w:divBdr>
                        <w:top w:val="none" w:sz="0" w:space="0" w:color="auto"/>
                        <w:left w:val="none" w:sz="0" w:space="0" w:color="auto"/>
                        <w:bottom w:val="none" w:sz="0" w:space="0" w:color="auto"/>
                        <w:right w:val="none" w:sz="0" w:space="0" w:color="auto"/>
                      </w:divBdr>
                      <w:divsChild>
                        <w:div w:id="927155159">
                          <w:marLeft w:val="0"/>
                          <w:marRight w:val="0"/>
                          <w:marTop w:val="0"/>
                          <w:marBottom w:val="0"/>
                          <w:divBdr>
                            <w:top w:val="none" w:sz="0" w:space="0" w:color="auto"/>
                            <w:left w:val="none" w:sz="0" w:space="0" w:color="auto"/>
                            <w:bottom w:val="none" w:sz="0" w:space="0" w:color="auto"/>
                            <w:right w:val="none" w:sz="0" w:space="0" w:color="auto"/>
                          </w:divBdr>
                          <w:divsChild>
                            <w:div w:id="677851251">
                              <w:marLeft w:val="0"/>
                              <w:marRight w:val="0"/>
                              <w:marTop w:val="0"/>
                              <w:marBottom w:val="0"/>
                              <w:divBdr>
                                <w:top w:val="none" w:sz="0" w:space="0" w:color="auto"/>
                                <w:left w:val="none" w:sz="0" w:space="0" w:color="auto"/>
                                <w:bottom w:val="none" w:sz="0" w:space="0" w:color="auto"/>
                                <w:right w:val="none" w:sz="0" w:space="0" w:color="auto"/>
                              </w:divBdr>
                              <w:divsChild>
                                <w:div w:id="2120179406">
                                  <w:marLeft w:val="0"/>
                                  <w:marRight w:val="0"/>
                                  <w:marTop w:val="0"/>
                                  <w:marBottom w:val="0"/>
                                  <w:divBdr>
                                    <w:top w:val="none" w:sz="0" w:space="0" w:color="auto"/>
                                    <w:left w:val="none" w:sz="0" w:space="0" w:color="auto"/>
                                    <w:bottom w:val="none" w:sz="0" w:space="0" w:color="auto"/>
                                    <w:right w:val="none" w:sz="0" w:space="0" w:color="auto"/>
                                  </w:divBdr>
                                  <w:divsChild>
                                    <w:div w:id="983506062">
                                      <w:marLeft w:val="0"/>
                                      <w:marRight w:val="0"/>
                                      <w:marTop w:val="0"/>
                                      <w:marBottom w:val="0"/>
                                      <w:divBdr>
                                        <w:top w:val="none" w:sz="0" w:space="0" w:color="auto"/>
                                        <w:left w:val="none" w:sz="0" w:space="0" w:color="auto"/>
                                        <w:bottom w:val="none" w:sz="0" w:space="0" w:color="auto"/>
                                        <w:right w:val="none" w:sz="0" w:space="0" w:color="auto"/>
                                      </w:divBdr>
                                      <w:divsChild>
                                        <w:div w:id="995381552">
                                          <w:marLeft w:val="0"/>
                                          <w:marRight w:val="0"/>
                                          <w:marTop w:val="0"/>
                                          <w:marBottom w:val="0"/>
                                          <w:divBdr>
                                            <w:top w:val="none" w:sz="0" w:space="0" w:color="auto"/>
                                            <w:left w:val="none" w:sz="0" w:space="0" w:color="auto"/>
                                            <w:bottom w:val="none" w:sz="0" w:space="0" w:color="auto"/>
                                            <w:right w:val="none" w:sz="0" w:space="0" w:color="auto"/>
                                          </w:divBdr>
                                          <w:divsChild>
                                            <w:div w:id="450904524">
                                              <w:marLeft w:val="0"/>
                                              <w:marRight w:val="0"/>
                                              <w:marTop w:val="0"/>
                                              <w:marBottom w:val="0"/>
                                              <w:divBdr>
                                                <w:top w:val="none" w:sz="0" w:space="0" w:color="auto"/>
                                                <w:left w:val="none" w:sz="0" w:space="0" w:color="auto"/>
                                                <w:bottom w:val="none" w:sz="0" w:space="0" w:color="auto"/>
                                                <w:right w:val="none" w:sz="0" w:space="0" w:color="auto"/>
                                              </w:divBdr>
                                              <w:divsChild>
                                                <w:div w:id="103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281">
      <w:bodyDiv w:val="1"/>
      <w:marLeft w:val="0"/>
      <w:marRight w:val="0"/>
      <w:marTop w:val="0"/>
      <w:marBottom w:val="0"/>
      <w:divBdr>
        <w:top w:val="none" w:sz="0" w:space="0" w:color="auto"/>
        <w:left w:val="none" w:sz="0" w:space="0" w:color="auto"/>
        <w:bottom w:val="none" w:sz="0" w:space="0" w:color="auto"/>
        <w:right w:val="none" w:sz="0" w:space="0" w:color="auto"/>
      </w:divBdr>
    </w:div>
    <w:div w:id="608046340">
      <w:bodyDiv w:val="1"/>
      <w:marLeft w:val="0"/>
      <w:marRight w:val="0"/>
      <w:marTop w:val="0"/>
      <w:marBottom w:val="0"/>
      <w:divBdr>
        <w:top w:val="none" w:sz="0" w:space="0" w:color="auto"/>
        <w:left w:val="none" w:sz="0" w:space="0" w:color="auto"/>
        <w:bottom w:val="none" w:sz="0" w:space="0" w:color="auto"/>
        <w:right w:val="none" w:sz="0" w:space="0" w:color="auto"/>
      </w:divBdr>
    </w:div>
    <w:div w:id="625818993">
      <w:bodyDiv w:val="1"/>
      <w:marLeft w:val="0"/>
      <w:marRight w:val="0"/>
      <w:marTop w:val="0"/>
      <w:marBottom w:val="0"/>
      <w:divBdr>
        <w:top w:val="none" w:sz="0" w:space="0" w:color="auto"/>
        <w:left w:val="none" w:sz="0" w:space="0" w:color="auto"/>
        <w:bottom w:val="none" w:sz="0" w:space="0" w:color="auto"/>
        <w:right w:val="none" w:sz="0" w:space="0" w:color="auto"/>
      </w:divBdr>
    </w:div>
    <w:div w:id="743182377">
      <w:bodyDiv w:val="1"/>
      <w:marLeft w:val="0"/>
      <w:marRight w:val="0"/>
      <w:marTop w:val="0"/>
      <w:marBottom w:val="0"/>
      <w:divBdr>
        <w:top w:val="none" w:sz="0" w:space="0" w:color="auto"/>
        <w:left w:val="none" w:sz="0" w:space="0" w:color="auto"/>
        <w:bottom w:val="none" w:sz="0" w:space="0" w:color="auto"/>
        <w:right w:val="none" w:sz="0" w:space="0" w:color="auto"/>
      </w:divBdr>
    </w:div>
    <w:div w:id="1012488023">
      <w:bodyDiv w:val="1"/>
      <w:marLeft w:val="0"/>
      <w:marRight w:val="0"/>
      <w:marTop w:val="0"/>
      <w:marBottom w:val="0"/>
      <w:divBdr>
        <w:top w:val="none" w:sz="0" w:space="0" w:color="auto"/>
        <w:left w:val="none" w:sz="0" w:space="0" w:color="auto"/>
        <w:bottom w:val="none" w:sz="0" w:space="0" w:color="auto"/>
        <w:right w:val="none" w:sz="0" w:space="0" w:color="auto"/>
      </w:divBdr>
    </w:div>
    <w:div w:id="1036928207">
      <w:bodyDiv w:val="1"/>
      <w:marLeft w:val="0"/>
      <w:marRight w:val="0"/>
      <w:marTop w:val="0"/>
      <w:marBottom w:val="0"/>
      <w:divBdr>
        <w:top w:val="none" w:sz="0" w:space="0" w:color="auto"/>
        <w:left w:val="none" w:sz="0" w:space="0" w:color="auto"/>
        <w:bottom w:val="none" w:sz="0" w:space="0" w:color="auto"/>
        <w:right w:val="none" w:sz="0" w:space="0" w:color="auto"/>
      </w:divBdr>
    </w:div>
    <w:div w:id="1297444359">
      <w:bodyDiv w:val="1"/>
      <w:marLeft w:val="0"/>
      <w:marRight w:val="0"/>
      <w:marTop w:val="0"/>
      <w:marBottom w:val="0"/>
      <w:divBdr>
        <w:top w:val="none" w:sz="0" w:space="0" w:color="auto"/>
        <w:left w:val="none" w:sz="0" w:space="0" w:color="auto"/>
        <w:bottom w:val="none" w:sz="0" w:space="0" w:color="auto"/>
        <w:right w:val="none" w:sz="0" w:space="0" w:color="auto"/>
      </w:divBdr>
    </w:div>
    <w:div w:id="1443769688">
      <w:bodyDiv w:val="1"/>
      <w:marLeft w:val="0"/>
      <w:marRight w:val="0"/>
      <w:marTop w:val="0"/>
      <w:marBottom w:val="0"/>
      <w:divBdr>
        <w:top w:val="none" w:sz="0" w:space="0" w:color="auto"/>
        <w:left w:val="none" w:sz="0" w:space="0" w:color="auto"/>
        <w:bottom w:val="none" w:sz="0" w:space="0" w:color="auto"/>
        <w:right w:val="none" w:sz="0" w:space="0" w:color="auto"/>
      </w:divBdr>
    </w:div>
    <w:div w:id="1445541995">
      <w:bodyDiv w:val="1"/>
      <w:marLeft w:val="0"/>
      <w:marRight w:val="0"/>
      <w:marTop w:val="0"/>
      <w:marBottom w:val="0"/>
      <w:divBdr>
        <w:top w:val="none" w:sz="0" w:space="0" w:color="auto"/>
        <w:left w:val="none" w:sz="0" w:space="0" w:color="auto"/>
        <w:bottom w:val="none" w:sz="0" w:space="0" w:color="auto"/>
        <w:right w:val="none" w:sz="0" w:space="0" w:color="auto"/>
      </w:divBdr>
    </w:div>
    <w:div w:id="19947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f.ac.uk/6147/2019-developing-excellent-practice-award-sponsored-by-cyl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Leading Development: Frameworks and Partnerships</vt:lpstr>
    </vt:vector>
  </TitlesOfParts>
  <Company>University of Bristol</Company>
  <LinksUpToDate>false</LinksUpToDate>
  <CharactersWithSpaces>4147</CharactersWithSpaces>
  <SharedDoc>false</SharedDoc>
  <HLinks>
    <vt:vector size="18" baseType="variant">
      <vt:variant>
        <vt:i4>4391031</vt:i4>
      </vt:variant>
      <vt:variant>
        <vt:i4>27</vt:i4>
      </vt:variant>
      <vt:variant>
        <vt:i4>0</vt:i4>
      </vt:variant>
      <vt:variant>
        <vt:i4>5</vt:i4>
      </vt:variant>
      <vt:variant>
        <vt:lpwstr>mailto:wendy.mason@sdf.ac.uk</vt:lpwstr>
      </vt:variant>
      <vt:variant>
        <vt:lpwstr/>
      </vt:variant>
      <vt:variant>
        <vt:i4>3145779</vt:i4>
      </vt:variant>
      <vt:variant>
        <vt:i4>3</vt:i4>
      </vt:variant>
      <vt:variant>
        <vt:i4>0</vt:i4>
      </vt:variant>
      <vt:variant>
        <vt:i4>5</vt:i4>
      </vt:variant>
      <vt:variant>
        <vt:lpwstr>https://www3.hilton.com/en/hotels/united-kingdom/hilton-newcastle-gateshead-NCLHIHI/index.html</vt:lpwstr>
      </vt:variant>
      <vt:variant>
        <vt:lpwstr/>
      </vt:variant>
      <vt:variant>
        <vt:i4>3145779</vt:i4>
      </vt:variant>
      <vt:variant>
        <vt:i4>0</vt:i4>
      </vt:variant>
      <vt:variant>
        <vt:i4>0</vt:i4>
      </vt:variant>
      <vt:variant>
        <vt:i4>5</vt:i4>
      </vt:variant>
      <vt:variant>
        <vt:lpwstr>https://www3.hilton.com/en/hotels/united-kingdom/hilton-newcastle-gateshead-NCLHIHI/index.html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Development: Frameworks and Partnerships</dc:title>
  <dc:subject/>
  <dc:creator>Dr Lesly Huxley</dc:creator>
  <cp:keywords/>
  <cp:lastModifiedBy>Ross Esp</cp:lastModifiedBy>
  <cp:revision>2</cp:revision>
  <dcterms:created xsi:type="dcterms:W3CDTF">2019-09-16T00:30:00Z</dcterms:created>
  <dcterms:modified xsi:type="dcterms:W3CDTF">2019-09-16T00:30:00Z</dcterms:modified>
</cp:coreProperties>
</file>